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4201A" w14:textId="77777777" w:rsidR="00EE1CF6" w:rsidRDefault="00000000">
      <w:pPr>
        <w:pStyle w:val="Heading3"/>
        <w:spacing w:before="40"/>
        <w:rPr>
          <w:b/>
          <w:sz w:val="22"/>
          <w:szCs w:val="22"/>
        </w:rPr>
      </w:pPr>
      <w:bookmarkStart w:id="0" w:name="_3gwhb92qrjrq" w:colFirst="0" w:colLast="0"/>
      <w:bookmarkEnd w:id="0"/>
      <w:r>
        <w:rPr>
          <w:b/>
          <w:sz w:val="26"/>
          <w:szCs w:val="26"/>
        </w:rPr>
        <w:t xml:space="preserve">NZ Police: Hate crimes targeting NZ Jews up 530% from 2022 to </w:t>
      </w:r>
      <w:proofErr w:type="gramStart"/>
      <w:r>
        <w:rPr>
          <w:b/>
          <w:sz w:val="26"/>
          <w:szCs w:val="26"/>
        </w:rPr>
        <w:t>2023</w:t>
      </w:r>
      <w:proofErr w:type="gramEnd"/>
    </w:p>
    <w:p w14:paraId="28D04450" w14:textId="77777777" w:rsidR="00EE1CF6" w:rsidRDefault="00000000">
      <w:pPr>
        <w:pStyle w:val="Heading4"/>
        <w:spacing w:before="40"/>
        <w:rPr>
          <w:sz w:val="22"/>
          <w:szCs w:val="22"/>
        </w:rPr>
      </w:pPr>
      <w:bookmarkStart w:id="1" w:name="_blytgaxrlcmo" w:colFirst="0" w:colLast="0"/>
      <w:bookmarkEnd w:id="1"/>
      <w:r>
        <w:rPr>
          <w:sz w:val="22"/>
          <w:szCs w:val="22"/>
        </w:rPr>
        <w:t>Executive summary:</w:t>
      </w:r>
    </w:p>
    <w:p w14:paraId="58D973BF" w14:textId="77777777" w:rsidR="00EE1CF6" w:rsidRDefault="00000000">
      <w:pPr>
        <w:numPr>
          <w:ilvl w:val="0"/>
          <w:numId w:val="1"/>
        </w:numPr>
        <w:spacing w:before="40" w:after="80"/>
        <w:rPr>
          <w:sz w:val="20"/>
          <w:szCs w:val="20"/>
        </w:rPr>
      </w:pPr>
      <w:r>
        <w:rPr>
          <w:sz w:val="20"/>
          <w:szCs w:val="20"/>
        </w:rPr>
        <w:t xml:space="preserve">Police reported hate crimes targeting Jews in New Zealand increased 583% from 2022 to 2023. </w:t>
      </w:r>
    </w:p>
    <w:p w14:paraId="293A598E" w14:textId="77777777" w:rsidR="00EE1CF6" w:rsidRDefault="00000000">
      <w:pPr>
        <w:numPr>
          <w:ilvl w:val="0"/>
          <w:numId w:val="1"/>
        </w:numPr>
        <w:spacing w:before="40" w:after="80"/>
        <w:rPr>
          <w:sz w:val="20"/>
          <w:szCs w:val="20"/>
        </w:rPr>
      </w:pPr>
      <w:r>
        <w:rPr>
          <w:sz w:val="20"/>
          <w:szCs w:val="20"/>
        </w:rPr>
        <w:t>Jewish New Zealanders are disproportionately targeted for hate crimes. Despite making up only 0.2% of the population, NZ Police Oct-Dec 2023 data shows that:</w:t>
      </w:r>
    </w:p>
    <w:p w14:paraId="3E8A5708" w14:textId="77777777" w:rsidR="00EE1CF6" w:rsidRDefault="00000000">
      <w:pPr>
        <w:numPr>
          <w:ilvl w:val="1"/>
          <w:numId w:val="1"/>
        </w:numPr>
        <w:spacing w:before="40" w:after="80"/>
        <w:rPr>
          <w:sz w:val="20"/>
          <w:szCs w:val="20"/>
        </w:rPr>
      </w:pPr>
      <w:r>
        <w:rPr>
          <w:sz w:val="20"/>
          <w:szCs w:val="20"/>
        </w:rPr>
        <w:t xml:space="preserve">13% of all reported hate crimes in the Auckland Region were against </w:t>
      </w:r>
      <w:proofErr w:type="gramStart"/>
      <w:r>
        <w:rPr>
          <w:sz w:val="20"/>
          <w:szCs w:val="20"/>
        </w:rPr>
        <w:t>Jews;</w:t>
      </w:r>
      <w:proofErr w:type="gramEnd"/>
    </w:p>
    <w:p w14:paraId="5C399B75" w14:textId="77777777" w:rsidR="00EE1CF6" w:rsidRDefault="00000000">
      <w:pPr>
        <w:numPr>
          <w:ilvl w:val="1"/>
          <w:numId w:val="1"/>
        </w:numPr>
        <w:spacing w:before="40" w:after="80"/>
        <w:rPr>
          <w:sz w:val="20"/>
          <w:szCs w:val="20"/>
        </w:rPr>
      </w:pPr>
      <w:r>
        <w:rPr>
          <w:sz w:val="20"/>
          <w:szCs w:val="20"/>
        </w:rPr>
        <w:t>10% of all reported hate crimes in the Wellington Region were against Jews; and</w:t>
      </w:r>
    </w:p>
    <w:p w14:paraId="290DB145" w14:textId="77777777" w:rsidR="00EE1CF6" w:rsidRDefault="00000000">
      <w:pPr>
        <w:numPr>
          <w:ilvl w:val="1"/>
          <w:numId w:val="1"/>
        </w:numPr>
        <w:spacing w:before="40" w:after="80"/>
        <w:rPr>
          <w:sz w:val="20"/>
          <w:szCs w:val="20"/>
        </w:rPr>
      </w:pPr>
      <w:r>
        <w:rPr>
          <w:sz w:val="20"/>
          <w:szCs w:val="20"/>
        </w:rPr>
        <w:t>10% of all reported hate crimes in the Tasman Region were against Jews.</w:t>
      </w:r>
    </w:p>
    <w:p w14:paraId="0D566EC6" w14:textId="77777777" w:rsidR="00EE1CF6" w:rsidRDefault="00000000">
      <w:pPr>
        <w:numPr>
          <w:ilvl w:val="0"/>
          <w:numId w:val="1"/>
        </w:numPr>
        <w:spacing w:before="40" w:after="80"/>
        <w:rPr>
          <w:sz w:val="20"/>
          <w:szCs w:val="20"/>
        </w:rPr>
      </w:pPr>
      <w:r>
        <w:rPr>
          <w:sz w:val="20"/>
          <w:szCs w:val="20"/>
        </w:rPr>
        <w:t>Jewish New Zealanders are 160 times more likely to be the victim of a hate crime than a European New Zealander.</w:t>
      </w:r>
    </w:p>
    <w:p w14:paraId="47E45914" w14:textId="77777777" w:rsidR="00EE1CF6" w:rsidRDefault="00000000">
      <w:pPr>
        <w:numPr>
          <w:ilvl w:val="0"/>
          <w:numId w:val="1"/>
        </w:numPr>
        <w:spacing w:before="40" w:after="80"/>
        <w:rPr>
          <w:sz w:val="20"/>
          <w:szCs w:val="20"/>
        </w:rPr>
      </w:pPr>
      <w:r>
        <w:rPr>
          <w:sz w:val="20"/>
          <w:szCs w:val="20"/>
        </w:rPr>
        <w:t xml:space="preserve">Jewish New Zealanders are 18 times more likely to be the victim of a hate crime than a </w:t>
      </w:r>
      <w:proofErr w:type="spellStart"/>
      <w:r>
        <w:rPr>
          <w:sz w:val="20"/>
          <w:szCs w:val="20"/>
        </w:rPr>
        <w:t>Maori</w:t>
      </w:r>
      <w:proofErr w:type="spellEnd"/>
      <w:r>
        <w:rPr>
          <w:sz w:val="20"/>
          <w:szCs w:val="20"/>
        </w:rPr>
        <w:t xml:space="preserve"> New Zealander.</w:t>
      </w:r>
    </w:p>
    <w:p w14:paraId="1E3A221E" w14:textId="77777777" w:rsidR="00EE1CF6" w:rsidRDefault="00000000">
      <w:pPr>
        <w:numPr>
          <w:ilvl w:val="0"/>
          <w:numId w:val="1"/>
        </w:numPr>
        <w:spacing w:before="40" w:after="80"/>
        <w:rPr>
          <w:sz w:val="20"/>
          <w:szCs w:val="20"/>
        </w:rPr>
      </w:pPr>
      <w:r>
        <w:rPr>
          <w:sz w:val="20"/>
          <w:szCs w:val="20"/>
        </w:rPr>
        <w:t>Jewish New Zealanders are 1.7 times more likely to be the victim of a hate crime than a Middle Eastern New Zealander.</w:t>
      </w:r>
    </w:p>
    <w:p w14:paraId="373BA82C" w14:textId="77777777" w:rsidR="00EE1CF6" w:rsidRDefault="00000000">
      <w:pPr>
        <w:numPr>
          <w:ilvl w:val="0"/>
          <w:numId w:val="1"/>
        </w:numPr>
        <w:spacing w:before="40" w:after="80"/>
        <w:rPr>
          <w:sz w:val="20"/>
          <w:szCs w:val="20"/>
        </w:rPr>
      </w:pPr>
      <w:r>
        <w:rPr>
          <w:sz w:val="20"/>
          <w:szCs w:val="20"/>
        </w:rPr>
        <w:t xml:space="preserve">Hate crimes against Jewish New Zealanders are increasing at a rate more than 5 times higher than the next group of victims, Middle Eastern New Zealanders. </w:t>
      </w:r>
    </w:p>
    <w:p w14:paraId="06AF8092" w14:textId="77777777" w:rsidR="00EE1CF6" w:rsidRDefault="00EE1CF6">
      <w:pPr>
        <w:spacing w:before="40" w:after="80"/>
        <w:rPr>
          <w:sz w:val="20"/>
          <w:szCs w:val="20"/>
        </w:rPr>
      </w:pPr>
    </w:p>
    <w:p w14:paraId="15E419B0" w14:textId="77777777" w:rsidR="00EE1CF6" w:rsidRDefault="00000000">
      <w:pPr>
        <w:pStyle w:val="Heading3"/>
        <w:spacing w:before="40"/>
        <w:rPr>
          <w:b/>
          <w:sz w:val="26"/>
          <w:szCs w:val="26"/>
        </w:rPr>
      </w:pPr>
      <w:bookmarkStart w:id="2" w:name="_x7brmsyef3vn" w:colFirst="0" w:colLast="0"/>
      <w:bookmarkEnd w:id="2"/>
      <w:r>
        <w:rPr>
          <w:b/>
          <w:sz w:val="26"/>
          <w:szCs w:val="26"/>
        </w:rPr>
        <w:t>Analysis of NZ Police Hate Crime Data</w:t>
      </w:r>
    </w:p>
    <w:p w14:paraId="6ABA34B3" w14:textId="77777777" w:rsidR="00EE1CF6" w:rsidRDefault="00000000">
      <w:pPr>
        <w:pStyle w:val="Heading4"/>
        <w:spacing w:before="40"/>
        <w:rPr>
          <w:sz w:val="22"/>
          <w:szCs w:val="22"/>
        </w:rPr>
      </w:pPr>
      <w:bookmarkStart w:id="3" w:name="_ss96oz3odhn0" w:colFirst="0" w:colLast="0"/>
      <w:bookmarkEnd w:id="3"/>
      <w:r>
        <w:rPr>
          <w:sz w:val="22"/>
          <w:szCs w:val="22"/>
        </w:rPr>
        <w:t>Background</w:t>
      </w:r>
    </w:p>
    <w:p w14:paraId="0484A6F9" w14:textId="77777777" w:rsidR="00EE1CF6" w:rsidRDefault="00000000">
      <w:pPr>
        <w:spacing w:before="40" w:after="80"/>
        <w:rPr>
          <w:sz w:val="20"/>
          <w:szCs w:val="20"/>
        </w:rPr>
      </w:pPr>
      <w:r>
        <w:rPr>
          <w:sz w:val="20"/>
          <w:szCs w:val="20"/>
        </w:rPr>
        <w:t>In late February 2024, New Zealand Police publicly released responses to Official Information Act requests regarding recorded hate-motivated crimes</w:t>
      </w:r>
      <w:r>
        <w:rPr>
          <w:sz w:val="20"/>
          <w:szCs w:val="20"/>
          <w:vertAlign w:val="superscript"/>
        </w:rPr>
        <w:footnoteReference w:id="1"/>
      </w:r>
      <w:r>
        <w:rPr>
          <w:sz w:val="20"/>
          <w:szCs w:val="20"/>
        </w:rPr>
        <w:t xml:space="preserve">. </w:t>
      </w:r>
    </w:p>
    <w:p w14:paraId="7006602B" w14:textId="77777777" w:rsidR="00EE1CF6" w:rsidRDefault="00000000">
      <w:pPr>
        <w:spacing w:before="40" w:after="80"/>
        <w:rPr>
          <w:sz w:val="20"/>
          <w:szCs w:val="20"/>
        </w:rPr>
      </w:pPr>
      <w:r>
        <w:rPr>
          <w:sz w:val="20"/>
          <w:szCs w:val="20"/>
        </w:rPr>
        <w:t>The NZ Police working definition of ‘Hate Crime’ is</w:t>
      </w:r>
      <w:r>
        <w:rPr>
          <w:i/>
          <w:sz w:val="20"/>
          <w:szCs w:val="20"/>
        </w:rPr>
        <w:t xml:space="preserve"> “any offence which is perceived, by the victim or any other person, to be motivated, wholly or in part, by a hostility or prejudice based on a person’s particular characteristic, such as race, religion, sexual orientation, gender/transgender identity, disability, or age”</w:t>
      </w:r>
      <w:r>
        <w:rPr>
          <w:i/>
          <w:sz w:val="20"/>
          <w:szCs w:val="20"/>
          <w:vertAlign w:val="superscript"/>
        </w:rPr>
        <w:footnoteReference w:id="2"/>
      </w:r>
      <w:r>
        <w:rPr>
          <w:sz w:val="20"/>
          <w:szCs w:val="20"/>
        </w:rPr>
        <w:t xml:space="preserve">. The flag is created at the time of reporting if NZ Police identify a potential hate motive and data is available since </w:t>
      </w:r>
      <w:proofErr w:type="gramStart"/>
      <w:r>
        <w:rPr>
          <w:sz w:val="20"/>
          <w:szCs w:val="20"/>
        </w:rPr>
        <w:t>August,</w:t>
      </w:r>
      <w:proofErr w:type="gramEnd"/>
      <w:r>
        <w:rPr>
          <w:sz w:val="20"/>
          <w:szCs w:val="20"/>
        </w:rPr>
        <w:t xml:space="preserve"> 2019.</w:t>
      </w:r>
    </w:p>
    <w:p w14:paraId="3FA436ED" w14:textId="77777777" w:rsidR="00EE1CF6" w:rsidRDefault="00EE1CF6">
      <w:pPr>
        <w:spacing w:before="40" w:after="80"/>
        <w:rPr>
          <w:sz w:val="20"/>
          <w:szCs w:val="20"/>
        </w:rPr>
      </w:pPr>
    </w:p>
    <w:p w14:paraId="19DBEBC1" w14:textId="77777777" w:rsidR="00EE1CF6" w:rsidRDefault="00000000">
      <w:pPr>
        <w:pStyle w:val="Heading4"/>
        <w:spacing w:before="40"/>
        <w:rPr>
          <w:sz w:val="22"/>
          <w:szCs w:val="22"/>
        </w:rPr>
      </w:pPr>
      <w:bookmarkStart w:id="4" w:name="_ftw0mb4fyhun" w:colFirst="0" w:colLast="0"/>
      <w:bookmarkEnd w:id="4"/>
      <w:r>
        <w:rPr>
          <w:sz w:val="22"/>
          <w:szCs w:val="22"/>
        </w:rPr>
        <w:t xml:space="preserve">Analysis </w:t>
      </w:r>
    </w:p>
    <w:p w14:paraId="24F013CC" w14:textId="77777777" w:rsidR="00EE1CF6" w:rsidRDefault="00000000">
      <w:pPr>
        <w:pStyle w:val="Heading4"/>
        <w:spacing w:before="40"/>
        <w:rPr>
          <w:sz w:val="20"/>
          <w:szCs w:val="20"/>
        </w:rPr>
      </w:pPr>
      <w:bookmarkStart w:id="5" w:name="_uin6e7ekblgr" w:colFirst="0" w:colLast="0"/>
      <w:bookmarkEnd w:id="5"/>
      <w:r>
        <w:rPr>
          <w:sz w:val="20"/>
          <w:szCs w:val="20"/>
        </w:rPr>
        <w:t>Overall</w:t>
      </w:r>
    </w:p>
    <w:p w14:paraId="293433EE" w14:textId="77777777" w:rsidR="00EE1CF6" w:rsidRDefault="00000000">
      <w:pPr>
        <w:spacing w:before="40" w:after="80"/>
        <w:rPr>
          <w:sz w:val="20"/>
          <w:szCs w:val="20"/>
        </w:rPr>
      </w:pPr>
      <w:r>
        <w:rPr>
          <w:sz w:val="20"/>
          <w:szCs w:val="20"/>
        </w:rPr>
        <w:t>There were 3,208 hate crimes in 2021, 4,178 in 2022, and 4,711 in 2023. In January 2024 there were 426</w:t>
      </w:r>
      <w:r>
        <w:rPr>
          <w:sz w:val="20"/>
          <w:szCs w:val="20"/>
          <w:vertAlign w:val="superscript"/>
        </w:rPr>
        <w:footnoteReference w:id="3"/>
      </w:r>
      <w:r>
        <w:rPr>
          <w:sz w:val="20"/>
          <w:szCs w:val="20"/>
        </w:rPr>
        <w:t>. This represents an annualised increase of 30%, 47%, and 73%; thus, hate crimes are rising approximately linearly by 23.5% each year (R</w:t>
      </w:r>
      <w:r>
        <w:rPr>
          <w:sz w:val="20"/>
          <w:szCs w:val="20"/>
          <w:vertAlign w:val="superscript"/>
        </w:rPr>
        <w:t>2</w:t>
      </w:r>
      <w:r>
        <w:rPr>
          <w:sz w:val="20"/>
          <w:szCs w:val="20"/>
        </w:rPr>
        <w:t xml:space="preserve"> = 0.99; p = 0.006).</w:t>
      </w:r>
    </w:p>
    <w:p w14:paraId="52B8FB7D" w14:textId="77777777" w:rsidR="00EE1CF6" w:rsidRDefault="00000000">
      <w:pPr>
        <w:spacing w:before="40" w:after="80"/>
        <w:rPr>
          <w:sz w:val="20"/>
          <w:szCs w:val="20"/>
        </w:rPr>
      </w:pPr>
      <w:r>
        <w:rPr>
          <w:sz w:val="20"/>
          <w:szCs w:val="20"/>
        </w:rPr>
        <w:t>Antisemitic incidents rose from 12 to 82 (a 530% increase) and then to an annualised count of 108 in 2024 (another 30% increase)).</w:t>
      </w:r>
    </w:p>
    <w:p w14:paraId="1D94D5EF" w14:textId="77777777" w:rsidR="00EE1CF6" w:rsidRDefault="00EE1CF6">
      <w:pPr>
        <w:pStyle w:val="Heading6"/>
        <w:spacing w:before="40"/>
        <w:rPr>
          <w:sz w:val="20"/>
          <w:szCs w:val="20"/>
        </w:rPr>
      </w:pPr>
      <w:bookmarkStart w:id="6" w:name="_m1aqu888aio" w:colFirst="0" w:colLast="0"/>
      <w:bookmarkEnd w:id="6"/>
    </w:p>
    <w:p w14:paraId="71DFFE66" w14:textId="77777777" w:rsidR="00EE1CF6" w:rsidRDefault="00000000">
      <w:pPr>
        <w:pStyle w:val="Heading6"/>
        <w:spacing w:before="40"/>
        <w:rPr>
          <w:sz w:val="20"/>
          <w:szCs w:val="20"/>
        </w:rPr>
      </w:pPr>
      <w:bookmarkStart w:id="7" w:name="_cyij3ulim0l1" w:colFirst="0" w:colLast="0"/>
      <w:bookmarkEnd w:id="7"/>
      <w:r>
        <w:rPr>
          <w:sz w:val="20"/>
          <w:szCs w:val="20"/>
        </w:rPr>
        <w:t>Regions</w:t>
      </w:r>
    </w:p>
    <w:p w14:paraId="392F8152" w14:textId="77777777" w:rsidR="00EE1CF6" w:rsidRDefault="00000000">
      <w:pPr>
        <w:spacing w:before="40" w:after="80"/>
        <w:rPr>
          <w:sz w:val="20"/>
          <w:szCs w:val="20"/>
        </w:rPr>
      </w:pPr>
      <w:r>
        <w:rPr>
          <w:sz w:val="20"/>
          <w:szCs w:val="20"/>
        </w:rPr>
        <w:t>Data for the regions show that more populated areas have more incidents in a linear manner (</w:t>
      </w:r>
      <w:proofErr w:type="spellStart"/>
      <w:r>
        <w:rPr>
          <w:sz w:val="20"/>
          <w:szCs w:val="20"/>
        </w:rPr>
        <w:t>approx</w:t>
      </w:r>
      <w:proofErr w:type="spellEnd"/>
      <w:r>
        <w:rPr>
          <w:sz w:val="20"/>
          <w:szCs w:val="20"/>
        </w:rPr>
        <w:t xml:space="preserve"> 2.3 incidents per 1,000 people</w:t>
      </w:r>
      <w:r>
        <w:rPr>
          <w:sz w:val="20"/>
          <w:szCs w:val="20"/>
          <w:vertAlign w:val="superscript"/>
        </w:rPr>
        <w:footnoteReference w:id="4"/>
      </w:r>
      <w:r>
        <w:rPr>
          <w:sz w:val="20"/>
          <w:szCs w:val="20"/>
        </w:rPr>
        <w:t>; R</w:t>
      </w:r>
      <w:r>
        <w:rPr>
          <w:sz w:val="20"/>
          <w:szCs w:val="20"/>
          <w:vertAlign w:val="superscript"/>
        </w:rPr>
        <w:t>2</w:t>
      </w:r>
      <w:r>
        <w:rPr>
          <w:sz w:val="20"/>
          <w:szCs w:val="20"/>
        </w:rPr>
        <w:t xml:space="preserve"> = 0.99; p &lt; 0.001)</w:t>
      </w:r>
    </w:p>
    <w:p w14:paraId="6E8100C7" w14:textId="77777777" w:rsidR="00EE1CF6" w:rsidRDefault="00000000">
      <w:pPr>
        <w:pStyle w:val="Heading6"/>
        <w:spacing w:before="40"/>
        <w:rPr>
          <w:sz w:val="20"/>
          <w:szCs w:val="20"/>
        </w:rPr>
      </w:pPr>
      <w:bookmarkStart w:id="8" w:name="_wsj3g0dj72x9" w:colFirst="0" w:colLast="0"/>
      <w:bookmarkEnd w:id="8"/>
      <w:r>
        <w:rPr>
          <w:sz w:val="20"/>
          <w:szCs w:val="20"/>
        </w:rPr>
        <w:t>By victims’ ethnicity / religion</w:t>
      </w:r>
    </w:p>
    <w:p w14:paraId="6607B1E6" w14:textId="77777777" w:rsidR="00EE1CF6" w:rsidRDefault="00000000">
      <w:pPr>
        <w:spacing w:before="40" w:after="80"/>
        <w:rPr>
          <w:sz w:val="20"/>
          <w:szCs w:val="20"/>
        </w:rPr>
      </w:pPr>
      <w:r>
        <w:rPr>
          <w:sz w:val="20"/>
          <w:szCs w:val="20"/>
        </w:rPr>
        <w:t>Looking at the data for hate crimes targeting race/ethnicity, we see that Jews are disproportionately targeted</w:t>
      </w:r>
      <w:r>
        <w:rPr>
          <w:sz w:val="20"/>
          <w:szCs w:val="20"/>
          <w:vertAlign w:val="superscript"/>
        </w:rPr>
        <w:footnoteReference w:id="5"/>
      </w:r>
      <w:r>
        <w:rPr>
          <w:sz w:val="20"/>
          <w:szCs w:val="20"/>
        </w:rPr>
        <w:t xml:space="preserve"> with respect to their population</w:t>
      </w:r>
      <w:r>
        <w:rPr>
          <w:sz w:val="20"/>
          <w:szCs w:val="20"/>
          <w:vertAlign w:val="superscript"/>
        </w:rPr>
        <w:footnoteReference w:id="6"/>
      </w:r>
      <w:r>
        <w:rPr>
          <w:sz w:val="20"/>
          <w:szCs w:val="20"/>
        </w:rPr>
        <w:t>. In 2024, for example, Jews were approximately 1.7 times more likely to be the victim of a hate crime than Middle Eastern Kiwis, 3.2 times more likely than a South Asian Kiwi, 5.0 times more likely than an Asian Kiwi, 18 times more likely than a Māori, and 160 times more likely than a European New Zealander.</w:t>
      </w:r>
    </w:p>
    <w:p w14:paraId="5040BC11" w14:textId="77777777" w:rsidR="00EE1CF6" w:rsidRDefault="00000000">
      <w:pPr>
        <w:spacing w:before="40" w:after="80"/>
        <w:rPr>
          <w:sz w:val="20"/>
          <w:szCs w:val="20"/>
        </w:rPr>
      </w:pPr>
      <w:r>
        <w:rPr>
          <w:sz w:val="20"/>
          <w:szCs w:val="20"/>
        </w:rPr>
        <w:t>The attacks on Jews in New Zealand have increased over time more than any other group also. The crimes targeting Jews have increased at approximately 4.8 incidents per 1,000 people each year, whereas the next highest increase was incidents targeting Middle Eastern people, which only rose at 0.9 incidents per 1,000 people each year, on average.</w:t>
      </w:r>
    </w:p>
    <w:p w14:paraId="5E7BA726" w14:textId="77777777" w:rsidR="00EE1CF6" w:rsidRDefault="00000000">
      <w:pPr>
        <w:spacing w:before="40" w:after="80"/>
        <w:rPr>
          <w:sz w:val="20"/>
          <w:szCs w:val="20"/>
        </w:rPr>
      </w:pPr>
      <w:r>
        <w:rPr>
          <w:sz w:val="20"/>
          <w:szCs w:val="20"/>
        </w:rPr>
        <w:t>Religion data is available for some of the incidents</w:t>
      </w:r>
      <w:r>
        <w:rPr>
          <w:sz w:val="20"/>
          <w:szCs w:val="20"/>
          <w:vertAlign w:val="superscript"/>
        </w:rPr>
        <w:footnoteReference w:id="7"/>
      </w:r>
      <w:r>
        <w:rPr>
          <w:sz w:val="20"/>
          <w:szCs w:val="20"/>
        </w:rPr>
        <w:t xml:space="preserve"> and shows that New Zealand</w:t>
      </w:r>
      <w:r>
        <w:rPr>
          <w:sz w:val="20"/>
          <w:szCs w:val="20"/>
        </w:rPr>
        <w:tab/>
        <w:t>Jews are also disproportionately targeted in these hate crimes (5.2 incidents per 1,000 people</w:t>
      </w:r>
      <w:r>
        <w:rPr>
          <w:sz w:val="20"/>
          <w:szCs w:val="20"/>
          <w:vertAlign w:val="superscript"/>
        </w:rPr>
        <w:footnoteReference w:id="8"/>
      </w:r>
      <w:r>
        <w:rPr>
          <w:sz w:val="20"/>
          <w:szCs w:val="20"/>
        </w:rPr>
        <w:t>, compared to 3.8 for Muslims, 1.1 for other religions, and 0.3 for Sikhs).</w:t>
      </w:r>
    </w:p>
    <w:p w14:paraId="48C847E1" w14:textId="77777777" w:rsidR="00EE1CF6" w:rsidRDefault="00EE1CF6">
      <w:pPr>
        <w:pStyle w:val="Heading6"/>
        <w:spacing w:before="40"/>
        <w:rPr>
          <w:sz w:val="20"/>
          <w:szCs w:val="20"/>
        </w:rPr>
      </w:pPr>
      <w:bookmarkStart w:id="9" w:name="_tpxl9jcb2e38" w:colFirst="0" w:colLast="0"/>
      <w:bookmarkEnd w:id="9"/>
    </w:p>
    <w:p w14:paraId="467A4BDE" w14:textId="77777777" w:rsidR="00EE1CF6" w:rsidRDefault="00000000">
      <w:pPr>
        <w:pStyle w:val="Heading6"/>
        <w:spacing w:before="40"/>
        <w:rPr>
          <w:sz w:val="20"/>
          <w:szCs w:val="20"/>
        </w:rPr>
      </w:pPr>
      <w:bookmarkStart w:id="10" w:name="_vxdiwwwkq1vt" w:colFirst="0" w:colLast="0"/>
      <w:bookmarkEnd w:id="10"/>
      <w:r>
        <w:rPr>
          <w:sz w:val="20"/>
          <w:szCs w:val="20"/>
        </w:rPr>
        <w:t>Offenders</w:t>
      </w:r>
    </w:p>
    <w:p w14:paraId="5CBD6847" w14:textId="77777777" w:rsidR="00EE1CF6" w:rsidRDefault="00000000">
      <w:pPr>
        <w:spacing w:before="40" w:after="80"/>
        <w:rPr>
          <w:sz w:val="20"/>
          <w:szCs w:val="20"/>
        </w:rPr>
      </w:pPr>
      <w:r>
        <w:rPr>
          <w:sz w:val="20"/>
          <w:szCs w:val="20"/>
        </w:rPr>
        <w:t>Data on the offenders of hate crime</w:t>
      </w:r>
      <w:r>
        <w:rPr>
          <w:sz w:val="20"/>
          <w:szCs w:val="20"/>
          <w:vertAlign w:val="superscript"/>
        </w:rPr>
        <w:footnoteReference w:id="9"/>
      </w:r>
      <w:r>
        <w:rPr>
          <w:sz w:val="20"/>
          <w:szCs w:val="20"/>
        </w:rPr>
        <w:t xml:space="preserve"> shows that Māori are more likely to commit a hate crime per capita than any other group (</w:t>
      </w:r>
      <w:proofErr w:type="spellStart"/>
      <w:r>
        <w:rPr>
          <w:sz w:val="20"/>
          <w:szCs w:val="20"/>
        </w:rPr>
        <w:t>approx</w:t>
      </w:r>
      <w:proofErr w:type="spellEnd"/>
      <w:r>
        <w:rPr>
          <w:sz w:val="20"/>
          <w:szCs w:val="20"/>
        </w:rPr>
        <w:t xml:space="preserve"> 1.4 incidents per 1,000 population compared to 0.4 for Pasifika, 0.3 for Europeans, 0.2 for Indians, and 0.05 for Asians).</w:t>
      </w:r>
    </w:p>
    <w:p w14:paraId="69564375" w14:textId="77777777" w:rsidR="00EE1CF6" w:rsidRDefault="00000000">
      <w:pPr>
        <w:spacing w:before="40" w:after="80"/>
        <w:rPr>
          <w:sz w:val="20"/>
          <w:szCs w:val="20"/>
        </w:rPr>
      </w:pPr>
      <w:r>
        <w:rPr>
          <w:sz w:val="20"/>
          <w:szCs w:val="20"/>
        </w:rPr>
        <w:t>Males are much more likely (76% of offenders) to commit a hate crime, and younger people are more likely to commit an offence (almost 40% of incidents were committed by people under 36 years of age).</w:t>
      </w:r>
    </w:p>
    <w:p w14:paraId="2D66CD46" w14:textId="77777777" w:rsidR="00EE1CF6" w:rsidRDefault="00000000">
      <w:pPr>
        <w:spacing w:before="40" w:after="80"/>
        <w:rPr>
          <w:sz w:val="20"/>
          <w:szCs w:val="20"/>
        </w:rPr>
      </w:pPr>
      <w:r>
        <w:rPr>
          <w:sz w:val="20"/>
          <w:szCs w:val="20"/>
        </w:rPr>
        <w:t>In terms of crimes against Jews, the offenders are predominantly Māori (49% of incidents) or European (46% of incidents). The offenders also tend to be slightly older than attacks against other ethnicities/religions (41% are aged 46-55, compared to 15% overall; and only 14% are under 36 years old, compared to 40% in general)</w:t>
      </w:r>
    </w:p>
    <w:p w14:paraId="5BDDD43D" w14:textId="77777777" w:rsidR="00EE1CF6" w:rsidRDefault="00EE1CF6">
      <w:pPr>
        <w:spacing w:before="40" w:after="80"/>
        <w:rPr>
          <w:sz w:val="20"/>
          <w:szCs w:val="20"/>
        </w:rPr>
      </w:pPr>
    </w:p>
    <w:p w14:paraId="682411E2" w14:textId="77777777" w:rsidR="00EE1CF6" w:rsidRDefault="00000000">
      <w:pPr>
        <w:pStyle w:val="Heading4"/>
        <w:spacing w:before="40"/>
        <w:rPr>
          <w:sz w:val="22"/>
          <w:szCs w:val="22"/>
        </w:rPr>
      </w:pPr>
      <w:bookmarkStart w:id="11" w:name="_269vxgqir0dd" w:colFirst="0" w:colLast="0"/>
      <w:bookmarkEnd w:id="11"/>
      <w:r>
        <w:rPr>
          <w:sz w:val="22"/>
          <w:szCs w:val="22"/>
        </w:rPr>
        <w:t>Discussion</w:t>
      </w:r>
    </w:p>
    <w:p w14:paraId="4ACEF041" w14:textId="77777777" w:rsidR="00EE1CF6" w:rsidRDefault="00000000">
      <w:pPr>
        <w:spacing w:before="40" w:after="80"/>
        <w:rPr>
          <w:sz w:val="20"/>
          <w:szCs w:val="20"/>
        </w:rPr>
      </w:pPr>
      <w:r>
        <w:rPr>
          <w:sz w:val="20"/>
          <w:szCs w:val="20"/>
        </w:rPr>
        <w:t>In other countries Jews are consistently targeted in hate crimes at a disproportionate rate compared with other ethnicities or religions</w:t>
      </w:r>
      <w:r>
        <w:rPr>
          <w:sz w:val="20"/>
          <w:szCs w:val="20"/>
          <w:vertAlign w:val="superscript"/>
        </w:rPr>
        <w:footnoteReference w:id="10"/>
      </w:r>
      <w:r>
        <w:rPr>
          <w:sz w:val="20"/>
          <w:szCs w:val="20"/>
        </w:rPr>
        <w:t>. The data from NZ Police are aligned with those trends.</w:t>
      </w:r>
    </w:p>
    <w:p w14:paraId="7FE3CFB1" w14:textId="77777777" w:rsidR="00EE1CF6" w:rsidRDefault="00000000">
      <w:pPr>
        <w:spacing w:before="40" w:after="80"/>
        <w:rPr>
          <w:sz w:val="20"/>
          <w:szCs w:val="20"/>
        </w:rPr>
      </w:pPr>
      <w:r>
        <w:rPr>
          <w:sz w:val="20"/>
          <w:szCs w:val="20"/>
        </w:rPr>
        <w:t>More data recorded over longer periods of time, and with appropriate quality checks will provide a better understanding of the relative risks to New Zealand ethnic and religious communities.</w:t>
      </w:r>
    </w:p>
    <w:p w14:paraId="61A3B096" w14:textId="77777777" w:rsidR="00EE1CF6" w:rsidRDefault="00000000">
      <w:pPr>
        <w:spacing w:before="40" w:after="80"/>
        <w:rPr>
          <w:sz w:val="20"/>
          <w:szCs w:val="20"/>
        </w:rPr>
      </w:pPr>
      <w:r>
        <w:rPr>
          <w:sz w:val="20"/>
          <w:szCs w:val="20"/>
        </w:rPr>
        <w:lastRenderedPageBreak/>
        <w:t>The NZ Police data have similar trends to what the New Zealand Jewish Community Security Group has recorded - between Oct and Nov 2023 there was a &gt;1500% increase in recorded incidents, and an increasing number of incidents in the preceding years</w:t>
      </w:r>
      <w:r>
        <w:rPr>
          <w:sz w:val="20"/>
          <w:szCs w:val="20"/>
          <w:vertAlign w:val="superscript"/>
        </w:rPr>
        <w:footnoteReference w:id="11"/>
      </w:r>
      <w:r>
        <w:rPr>
          <w:sz w:val="20"/>
          <w:szCs w:val="20"/>
        </w:rPr>
        <w:t>.</w:t>
      </w:r>
    </w:p>
    <w:p w14:paraId="5FBA4AEC" w14:textId="77777777" w:rsidR="00EE1CF6" w:rsidRDefault="00EE1CF6">
      <w:pPr>
        <w:spacing w:before="40" w:after="80"/>
        <w:rPr>
          <w:sz w:val="20"/>
          <w:szCs w:val="20"/>
        </w:rPr>
      </w:pPr>
    </w:p>
    <w:p w14:paraId="08D9372C" w14:textId="77777777" w:rsidR="00EE1CF6" w:rsidRDefault="00000000">
      <w:pPr>
        <w:spacing w:before="40" w:after="80"/>
        <w:jc w:val="center"/>
        <w:rPr>
          <w:sz w:val="20"/>
          <w:szCs w:val="20"/>
        </w:rPr>
      </w:pPr>
      <w:r>
        <w:rPr>
          <w:noProof/>
          <w:sz w:val="20"/>
          <w:szCs w:val="20"/>
        </w:rPr>
        <w:drawing>
          <wp:inline distT="114300" distB="114300" distL="114300" distR="114300" wp14:anchorId="764056C9" wp14:editId="1D4E573B">
            <wp:extent cx="5731200" cy="3048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3048000"/>
                    </a:xfrm>
                    <a:prstGeom prst="rect">
                      <a:avLst/>
                    </a:prstGeom>
                    <a:ln/>
                  </pic:spPr>
                </pic:pic>
              </a:graphicData>
            </a:graphic>
          </wp:inline>
        </w:drawing>
      </w:r>
    </w:p>
    <w:p w14:paraId="10265AFE" w14:textId="77777777" w:rsidR="00EE1CF6" w:rsidRDefault="00000000">
      <w:pPr>
        <w:spacing w:before="40" w:after="80"/>
        <w:jc w:val="center"/>
        <w:rPr>
          <w:i/>
          <w:sz w:val="18"/>
          <w:szCs w:val="18"/>
        </w:rPr>
      </w:pPr>
      <w:r>
        <w:rPr>
          <w:i/>
          <w:sz w:val="18"/>
          <w:szCs w:val="18"/>
        </w:rPr>
        <w:t>Figure 1: Annualised rate of reported hate crime incidents targeting race/ethnicity per 1,000 population for a selection of victim ethnicities by year. NZ Police Data</w:t>
      </w:r>
    </w:p>
    <w:p w14:paraId="2A7D8B1B" w14:textId="77777777" w:rsidR="00EE1CF6" w:rsidRDefault="00EE1CF6">
      <w:pPr>
        <w:spacing w:before="40" w:after="80"/>
        <w:rPr>
          <w:sz w:val="18"/>
          <w:szCs w:val="18"/>
        </w:rPr>
      </w:pPr>
    </w:p>
    <w:p w14:paraId="2D4E5391" w14:textId="77777777" w:rsidR="00EE1CF6" w:rsidRDefault="00EE1CF6">
      <w:pPr>
        <w:pStyle w:val="Heading4"/>
        <w:spacing w:before="40"/>
        <w:rPr>
          <w:sz w:val="22"/>
          <w:szCs w:val="22"/>
        </w:rPr>
      </w:pPr>
      <w:bookmarkStart w:id="12" w:name="_wl4tnie9wa9v" w:colFirst="0" w:colLast="0"/>
      <w:bookmarkEnd w:id="12"/>
    </w:p>
    <w:p w14:paraId="30E8A377" w14:textId="77777777" w:rsidR="00EE1CF6" w:rsidRDefault="00000000">
      <w:pPr>
        <w:pStyle w:val="Heading4"/>
        <w:spacing w:before="40"/>
        <w:rPr>
          <w:sz w:val="22"/>
          <w:szCs w:val="22"/>
        </w:rPr>
      </w:pPr>
      <w:bookmarkStart w:id="13" w:name="_fxeqlwufdwrp" w:colFirst="0" w:colLast="0"/>
      <w:bookmarkEnd w:id="13"/>
      <w:r>
        <w:br w:type="page"/>
      </w:r>
    </w:p>
    <w:p w14:paraId="67D3D223" w14:textId="77777777" w:rsidR="00EE1CF6" w:rsidRDefault="00000000">
      <w:pPr>
        <w:pStyle w:val="Heading4"/>
        <w:spacing w:before="40"/>
        <w:rPr>
          <w:sz w:val="18"/>
          <w:szCs w:val="18"/>
        </w:rPr>
      </w:pPr>
      <w:bookmarkStart w:id="14" w:name="_j0ca0veduxqr" w:colFirst="0" w:colLast="0"/>
      <w:bookmarkEnd w:id="14"/>
      <w:r>
        <w:rPr>
          <w:sz w:val="22"/>
          <w:szCs w:val="22"/>
        </w:rPr>
        <w:lastRenderedPageBreak/>
        <w:t>NZ Police Data extracts</w:t>
      </w:r>
    </w:p>
    <w:p w14:paraId="4431749D" w14:textId="77777777" w:rsidR="00EE1CF6" w:rsidRDefault="00000000">
      <w:pPr>
        <w:spacing w:before="40" w:after="80"/>
        <w:rPr>
          <w:sz w:val="18"/>
          <w:szCs w:val="18"/>
        </w:rPr>
      </w:pPr>
      <w:r>
        <w:rPr>
          <w:noProof/>
          <w:sz w:val="18"/>
          <w:szCs w:val="18"/>
        </w:rPr>
        <w:drawing>
          <wp:inline distT="114300" distB="114300" distL="114300" distR="114300" wp14:anchorId="61752FCC" wp14:editId="67B79C3E">
            <wp:extent cx="5367338" cy="391405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367338" cy="3914055"/>
                    </a:xfrm>
                    <a:prstGeom prst="rect">
                      <a:avLst/>
                    </a:prstGeom>
                    <a:ln/>
                  </pic:spPr>
                </pic:pic>
              </a:graphicData>
            </a:graphic>
          </wp:inline>
        </w:drawing>
      </w:r>
    </w:p>
    <w:p w14:paraId="38537417" w14:textId="77777777" w:rsidR="00EE1CF6" w:rsidRDefault="00000000">
      <w:pPr>
        <w:spacing w:before="40" w:after="80"/>
        <w:rPr>
          <w:sz w:val="18"/>
          <w:szCs w:val="18"/>
        </w:rPr>
      </w:pPr>
      <w:r>
        <w:rPr>
          <w:noProof/>
          <w:sz w:val="18"/>
          <w:szCs w:val="18"/>
        </w:rPr>
        <w:drawing>
          <wp:inline distT="114300" distB="114300" distL="114300" distR="114300" wp14:anchorId="09F1EF63" wp14:editId="21795BEB">
            <wp:extent cx="5337106" cy="39008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37106" cy="3900875"/>
                    </a:xfrm>
                    <a:prstGeom prst="rect">
                      <a:avLst/>
                    </a:prstGeom>
                    <a:ln/>
                  </pic:spPr>
                </pic:pic>
              </a:graphicData>
            </a:graphic>
          </wp:inline>
        </w:drawing>
      </w:r>
    </w:p>
    <w:p w14:paraId="74997403" w14:textId="77777777" w:rsidR="00EE1CF6" w:rsidRDefault="00000000">
      <w:pPr>
        <w:spacing w:before="40" w:after="80"/>
        <w:rPr>
          <w:sz w:val="18"/>
          <w:szCs w:val="18"/>
        </w:rPr>
      </w:pPr>
      <w:r>
        <w:rPr>
          <w:noProof/>
          <w:sz w:val="18"/>
          <w:szCs w:val="18"/>
        </w:rPr>
        <w:lastRenderedPageBreak/>
        <w:drawing>
          <wp:inline distT="114300" distB="114300" distL="114300" distR="114300" wp14:anchorId="47C80DA1" wp14:editId="60BFA95C">
            <wp:extent cx="5297909" cy="387222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297909" cy="3872226"/>
                    </a:xfrm>
                    <a:prstGeom prst="rect">
                      <a:avLst/>
                    </a:prstGeom>
                    <a:ln/>
                  </pic:spPr>
                </pic:pic>
              </a:graphicData>
            </a:graphic>
          </wp:inline>
        </w:drawing>
      </w:r>
    </w:p>
    <w:p w14:paraId="3E04993E" w14:textId="77777777" w:rsidR="00EE1CF6" w:rsidRDefault="00EE1CF6">
      <w:pPr>
        <w:spacing w:before="40" w:after="80"/>
        <w:rPr>
          <w:sz w:val="18"/>
          <w:szCs w:val="18"/>
        </w:rPr>
      </w:pPr>
    </w:p>
    <w:p w14:paraId="5177A6A1" w14:textId="77777777" w:rsidR="00EE1CF6" w:rsidRDefault="00000000">
      <w:pPr>
        <w:spacing w:before="40" w:after="80"/>
        <w:rPr>
          <w:sz w:val="18"/>
          <w:szCs w:val="18"/>
        </w:rPr>
      </w:pPr>
      <w:r>
        <w:rPr>
          <w:noProof/>
          <w:sz w:val="18"/>
          <w:szCs w:val="18"/>
        </w:rPr>
        <w:drawing>
          <wp:inline distT="114300" distB="114300" distL="114300" distR="114300" wp14:anchorId="33D12064" wp14:editId="78D45A5E">
            <wp:extent cx="5731200" cy="4127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4127500"/>
                    </a:xfrm>
                    <a:prstGeom prst="rect">
                      <a:avLst/>
                    </a:prstGeom>
                    <a:ln/>
                  </pic:spPr>
                </pic:pic>
              </a:graphicData>
            </a:graphic>
          </wp:inline>
        </w:drawing>
      </w:r>
    </w:p>
    <w:sectPr w:rsidR="00EE1CF6">
      <w:headerReference w:type="default" r:id="rId12"/>
      <w:footerReference w:type="default" r:id="rId13"/>
      <w:headerReference w:type="first" r:id="rId14"/>
      <w:footerReference w:type="first" r:id="rId15"/>
      <w:pgSz w:w="11909" w:h="16834"/>
      <w:pgMar w:top="2125"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77481" w14:textId="77777777" w:rsidR="00385633" w:rsidRDefault="00385633">
      <w:pPr>
        <w:spacing w:line="240" w:lineRule="auto"/>
      </w:pPr>
      <w:r>
        <w:separator/>
      </w:r>
    </w:p>
  </w:endnote>
  <w:endnote w:type="continuationSeparator" w:id="0">
    <w:p w14:paraId="7C6D19A9" w14:textId="77777777" w:rsidR="00385633" w:rsidRDefault="003856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60D5" w14:textId="77777777" w:rsidR="00EE1CF6" w:rsidRDefault="00385633">
    <w:pPr>
      <w:jc w:val="center"/>
      <w:rPr>
        <w:sz w:val="18"/>
        <w:szCs w:val="18"/>
      </w:rPr>
    </w:pPr>
    <w:r>
      <w:rPr>
        <w:noProof/>
      </w:rPr>
      <w:pict w14:anchorId="6643BDC7">
        <v:rect id="_x0000_i1026" alt="" style="width:451.3pt;height:.05pt;mso-width-percent:0;mso-height-percent:0;mso-width-percent:0;mso-height-percent:0" o:hralign="center" o:hrstd="t" o:hr="t" fillcolor="#a0a0a0" stroked="f"/>
      </w:pict>
    </w:r>
  </w:p>
  <w:p w14:paraId="44F5AA17" w14:textId="2F9429E9" w:rsidR="00EE1CF6" w:rsidRDefault="00000000">
    <w:pPr>
      <w:jc w:val="center"/>
      <w:rPr>
        <w:sz w:val="16"/>
        <w:szCs w:val="16"/>
      </w:rP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EA3843">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EA3843">
      <w:rPr>
        <w:noProof/>
        <w:sz w:val="18"/>
        <w:szCs w:val="18"/>
      </w:rPr>
      <w:t>3</w:t>
    </w:r>
    <w:r>
      <w:rPr>
        <w:sz w:val="18"/>
        <w:szCs w:val="18"/>
      </w:rPr>
      <w:fldChar w:fldCharType="end"/>
    </w:r>
    <w:r>
      <w:rPr>
        <w:sz w:val="18"/>
        <w:szCs w:val="18"/>
      </w:rPr>
      <w:br/>
      <w:t>Unrestricted | 06 March 2024 | csg.org.nz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6866" w14:textId="77777777" w:rsidR="00EE1CF6" w:rsidRDefault="00385633">
    <w:pPr>
      <w:jc w:val="center"/>
      <w:rPr>
        <w:sz w:val="18"/>
        <w:szCs w:val="18"/>
      </w:rPr>
    </w:pPr>
    <w:r>
      <w:rPr>
        <w:noProof/>
      </w:rPr>
      <w:pict w14:anchorId="21F4F274">
        <v:rect id="_x0000_i1025" alt="" style="width:451.3pt;height:.05pt;mso-width-percent:0;mso-height-percent:0;mso-width-percent:0;mso-height-percent:0" o:hralign="center" o:hrstd="t" o:hr="t" fillcolor="#a0a0a0" stroked="f"/>
      </w:pict>
    </w:r>
  </w:p>
  <w:p w14:paraId="002206C5" w14:textId="77777777" w:rsidR="00EE1CF6" w:rsidRDefault="00000000">
    <w:pPr>
      <w:jc w:val="center"/>
      <w:rPr>
        <w:sz w:val="18"/>
        <w:szCs w:val="18"/>
      </w:rP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EA3843">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EA3843">
      <w:rPr>
        <w:noProof/>
        <w:sz w:val="18"/>
        <w:szCs w:val="18"/>
      </w:rPr>
      <w:t>2</w:t>
    </w:r>
    <w:r>
      <w:rPr>
        <w:sz w:val="18"/>
        <w:szCs w:val="18"/>
      </w:rPr>
      <w:fldChar w:fldCharType="end"/>
    </w:r>
    <w:r>
      <w:rPr>
        <w:sz w:val="18"/>
        <w:szCs w:val="18"/>
      </w:rPr>
      <w:br/>
      <w:t xml:space="preserve">Unrestricted | 06 March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F22C6" w14:textId="77777777" w:rsidR="00385633" w:rsidRDefault="00385633">
      <w:pPr>
        <w:spacing w:line="240" w:lineRule="auto"/>
      </w:pPr>
      <w:r>
        <w:separator/>
      </w:r>
    </w:p>
  </w:footnote>
  <w:footnote w:type="continuationSeparator" w:id="0">
    <w:p w14:paraId="6D713B0B" w14:textId="77777777" w:rsidR="00385633" w:rsidRDefault="00385633">
      <w:pPr>
        <w:spacing w:line="240" w:lineRule="auto"/>
      </w:pPr>
      <w:r>
        <w:continuationSeparator/>
      </w:r>
    </w:p>
  </w:footnote>
  <w:footnote w:id="1">
    <w:p w14:paraId="7D7EFBC9" w14:textId="77777777" w:rsidR="00EE1CF6" w:rsidRDefault="00000000">
      <w:pPr>
        <w:spacing w:line="240" w:lineRule="auto"/>
        <w:rPr>
          <w:sz w:val="16"/>
          <w:szCs w:val="16"/>
        </w:rPr>
      </w:pPr>
      <w:r>
        <w:rPr>
          <w:vertAlign w:val="superscript"/>
        </w:rPr>
        <w:footnoteRef/>
      </w:r>
      <w:r>
        <w:rPr>
          <w:sz w:val="16"/>
          <w:szCs w:val="16"/>
        </w:rPr>
        <w:t xml:space="preserve"> </w:t>
      </w:r>
      <w:hyperlink r:id="rId1">
        <w:r>
          <w:rPr>
            <w:color w:val="1155CC"/>
            <w:sz w:val="16"/>
            <w:szCs w:val="16"/>
            <w:u w:val="single"/>
          </w:rPr>
          <w:t>https://www.police.govt.nz/about-us/publications-and-statistics/corporate/information-releases/hate-motivated-crimes-official</w:t>
        </w:r>
      </w:hyperlink>
      <w:r>
        <w:rPr>
          <w:sz w:val="16"/>
          <w:szCs w:val="16"/>
        </w:rPr>
        <w:t xml:space="preserve"> </w:t>
      </w:r>
    </w:p>
  </w:footnote>
  <w:footnote w:id="2">
    <w:p w14:paraId="0B8E5591" w14:textId="77777777" w:rsidR="00EE1CF6" w:rsidRDefault="00000000">
      <w:pPr>
        <w:spacing w:line="240" w:lineRule="auto"/>
        <w:rPr>
          <w:sz w:val="16"/>
          <w:szCs w:val="16"/>
        </w:rPr>
      </w:pPr>
      <w:r>
        <w:rPr>
          <w:vertAlign w:val="superscript"/>
        </w:rPr>
        <w:footnoteRef/>
      </w:r>
      <w:r>
        <w:rPr>
          <w:sz w:val="16"/>
          <w:szCs w:val="16"/>
        </w:rPr>
        <w:t xml:space="preserve"> </w:t>
      </w:r>
      <w:hyperlink r:id="rId2">
        <w:r>
          <w:rPr>
            <w:color w:val="1155CC"/>
            <w:sz w:val="16"/>
            <w:szCs w:val="16"/>
            <w:u w:val="single"/>
          </w:rPr>
          <w:t>https://www.police.govt.nz/sites/default/files/publications/ir-01-23-35388-response-documents.pdf</w:t>
        </w:r>
      </w:hyperlink>
      <w:r>
        <w:rPr>
          <w:sz w:val="16"/>
          <w:szCs w:val="16"/>
        </w:rPr>
        <w:t xml:space="preserve"> </w:t>
      </w:r>
    </w:p>
  </w:footnote>
  <w:footnote w:id="3">
    <w:p w14:paraId="6E7565C7" w14:textId="77777777" w:rsidR="00EE1CF6" w:rsidRDefault="00000000">
      <w:pPr>
        <w:spacing w:line="240" w:lineRule="auto"/>
        <w:rPr>
          <w:sz w:val="16"/>
          <w:szCs w:val="16"/>
        </w:rPr>
      </w:pPr>
      <w:r>
        <w:rPr>
          <w:vertAlign w:val="superscript"/>
        </w:rPr>
        <w:footnoteRef/>
      </w:r>
      <w:r>
        <w:rPr>
          <w:sz w:val="16"/>
          <w:szCs w:val="16"/>
        </w:rPr>
        <w:t xml:space="preserve"> </w:t>
      </w:r>
      <w:hyperlink r:id="rId3">
        <w:r>
          <w:rPr>
            <w:color w:val="1155CC"/>
            <w:sz w:val="16"/>
            <w:szCs w:val="16"/>
            <w:u w:val="single"/>
          </w:rPr>
          <w:t>https://www.police.govt.nz/sites/default/files/publications/ir-01-23-37251-updated-tables.pdf</w:t>
        </w:r>
      </w:hyperlink>
      <w:r>
        <w:rPr>
          <w:sz w:val="16"/>
          <w:szCs w:val="16"/>
        </w:rPr>
        <w:t xml:space="preserve"> </w:t>
      </w:r>
    </w:p>
  </w:footnote>
  <w:footnote w:id="4">
    <w:p w14:paraId="28CE75C9" w14:textId="77777777" w:rsidR="00EE1CF6" w:rsidRDefault="00000000">
      <w:pPr>
        <w:spacing w:line="240" w:lineRule="auto"/>
        <w:rPr>
          <w:sz w:val="16"/>
          <w:szCs w:val="16"/>
        </w:rPr>
      </w:pPr>
      <w:r>
        <w:rPr>
          <w:vertAlign w:val="superscript"/>
        </w:rPr>
        <w:footnoteRef/>
      </w:r>
      <w:r>
        <w:rPr>
          <w:sz w:val="16"/>
          <w:szCs w:val="16"/>
        </w:rPr>
        <w:t xml:space="preserve"> </w:t>
      </w:r>
      <w:hyperlink r:id="rId4">
        <w:r>
          <w:rPr>
            <w:color w:val="1155CC"/>
            <w:sz w:val="16"/>
            <w:szCs w:val="16"/>
            <w:u w:val="single"/>
          </w:rPr>
          <w:t>https://www.stats.govt.nz/information-releases/subnational-population-estimates-at-30-june-2020</w:t>
        </w:r>
      </w:hyperlink>
      <w:r>
        <w:rPr>
          <w:sz w:val="16"/>
          <w:szCs w:val="16"/>
        </w:rPr>
        <w:t xml:space="preserve"> </w:t>
      </w:r>
    </w:p>
  </w:footnote>
  <w:footnote w:id="5">
    <w:p w14:paraId="1389687A" w14:textId="77777777" w:rsidR="00EE1CF6" w:rsidRDefault="00000000">
      <w:pPr>
        <w:spacing w:line="240" w:lineRule="auto"/>
        <w:rPr>
          <w:sz w:val="16"/>
          <w:szCs w:val="16"/>
        </w:rPr>
      </w:pPr>
      <w:r>
        <w:rPr>
          <w:vertAlign w:val="superscript"/>
        </w:rPr>
        <w:footnoteRef/>
      </w:r>
      <w:r>
        <w:rPr>
          <w:sz w:val="16"/>
          <w:szCs w:val="16"/>
        </w:rPr>
        <w:t xml:space="preserve"> </w:t>
      </w:r>
      <w:hyperlink r:id="rId5">
        <w:r>
          <w:rPr>
            <w:color w:val="1155CC"/>
            <w:sz w:val="16"/>
            <w:szCs w:val="16"/>
            <w:u w:val="single"/>
          </w:rPr>
          <w:t>https://www.police.govt.nz/sites/default/files/publications/ir-01-23-37251-updated-tables.pdf</w:t>
        </w:r>
      </w:hyperlink>
      <w:r>
        <w:rPr>
          <w:sz w:val="16"/>
          <w:szCs w:val="16"/>
        </w:rPr>
        <w:t xml:space="preserve"> </w:t>
      </w:r>
    </w:p>
  </w:footnote>
  <w:footnote w:id="6">
    <w:p w14:paraId="1979DC9A" w14:textId="77777777" w:rsidR="00EE1CF6" w:rsidRDefault="00000000">
      <w:pPr>
        <w:spacing w:line="240" w:lineRule="auto"/>
        <w:rPr>
          <w:sz w:val="16"/>
          <w:szCs w:val="16"/>
        </w:rPr>
      </w:pPr>
      <w:r>
        <w:rPr>
          <w:vertAlign w:val="superscript"/>
        </w:rPr>
        <w:footnoteRef/>
      </w:r>
      <w:r>
        <w:rPr>
          <w:sz w:val="16"/>
          <w:szCs w:val="16"/>
        </w:rPr>
        <w:t xml:space="preserve"> </w:t>
      </w:r>
      <w:hyperlink r:id="rId6">
        <w:r>
          <w:rPr>
            <w:color w:val="1155CC"/>
            <w:sz w:val="16"/>
            <w:szCs w:val="16"/>
            <w:u w:val="single"/>
          </w:rPr>
          <w:t>https://www.stats.govt.nz/tools/2018-census-ethnic-group-summaries</w:t>
        </w:r>
      </w:hyperlink>
      <w:r>
        <w:rPr>
          <w:sz w:val="16"/>
          <w:szCs w:val="16"/>
        </w:rPr>
        <w:t xml:space="preserve"> </w:t>
      </w:r>
    </w:p>
  </w:footnote>
  <w:footnote w:id="7">
    <w:p w14:paraId="7310AFF9" w14:textId="77777777" w:rsidR="00EE1CF6" w:rsidRDefault="00000000">
      <w:pPr>
        <w:spacing w:line="240" w:lineRule="auto"/>
        <w:rPr>
          <w:sz w:val="16"/>
          <w:szCs w:val="16"/>
        </w:rPr>
      </w:pPr>
      <w:r>
        <w:rPr>
          <w:vertAlign w:val="superscript"/>
        </w:rPr>
        <w:footnoteRef/>
      </w:r>
      <w:r>
        <w:rPr>
          <w:sz w:val="16"/>
          <w:szCs w:val="16"/>
        </w:rPr>
        <w:t xml:space="preserve"> </w:t>
      </w:r>
      <w:hyperlink r:id="rId7">
        <w:r>
          <w:rPr>
            <w:color w:val="1155CC"/>
            <w:sz w:val="16"/>
            <w:szCs w:val="16"/>
            <w:u w:val="single"/>
          </w:rPr>
          <w:t>https://www.police.govt.nz/sites/default/files/publications/ir-01-23-24860-intersectionality-data.xlsx</w:t>
        </w:r>
      </w:hyperlink>
      <w:r>
        <w:rPr>
          <w:sz w:val="16"/>
          <w:szCs w:val="16"/>
        </w:rPr>
        <w:t xml:space="preserve"> </w:t>
      </w:r>
    </w:p>
  </w:footnote>
  <w:footnote w:id="8">
    <w:p w14:paraId="623BCDDA" w14:textId="77777777" w:rsidR="00EE1CF6" w:rsidRDefault="00000000">
      <w:pPr>
        <w:spacing w:line="240" w:lineRule="auto"/>
        <w:rPr>
          <w:sz w:val="16"/>
          <w:szCs w:val="16"/>
        </w:rPr>
      </w:pPr>
      <w:r>
        <w:rPr>
          <w:vertAlign w:val="superscript"/>
        </w:rPr>
        <w:footnoteRef/>
      </w:r>
      <w:r>
        <w:rPr>
          <w:sz w:val="16"/>
          <w:szCs w:val="16"/>
        </w:rPr>
        <w:t xml:space="preserve"> </w:t>
      </w:r>
      <w:hyperlink r:id="rId8">
        <w:r>
          <w:rPr>
            <w:color w:val="1155CC"/>
            <w:sz w:val="16"/>
            <w:szCs w:val="16"/>
            <w:u w:val="single"/>
          </w:rPr>
          <w:t>https://rdc.org.nz/summary-of-religious-diversity-in-new-zealand-2018-census/</w:t>
        </w:r>
      </w:hyperlink>
      <w:r>
        <w:rPr>
          <w:sz w:val="16"/>
          <w:szCs w:val="16"/>
        </w:rPr>
        <w:t xml:space="preserve"> </w:t>
      </w:r>
    </w:p>
  </w:footnote>
  <w:footnote w:id="9">
    <w:p w14:paraId="2B5521B4" w14:textId="77777777" w:rsidR="00EE1CF6" w:rsidRDefault="00000000">
      <w:pPr>
        <w:spacing w:line="240" w:lineRule="auto"/>
        <w:rPr>
          <w:sz w:val="16"/>
          <w:szCs w:val="16"/>
        </w:rPr>
      </w:pPr>
      <w:r>
        <w:rPr>
          <w:vertAlign w:val="superscript"/>
        </w:rPr>
        <w:footnoteRef/>
      </w:r>
      <w:r>
        <w:rPr>
          <w:sz w:val="16"/>
          <w:szCs w:val="16"/>
        </w:rPr>
        <w:t xml:space="preserve"> </w:t>
      </w:r>
      <w:hyperlink r:id="rId9">
        <w:r>
          <w:rPr>
            <w:color w:val="1155CC"/>
            <w:sz w:val="16"/>
            <w:szCs w:val="16"/>
            <w:u w:val="single"/>
          </w:rPr>
          <w:t>https://www.police.govt.nz/sites/default/files/publications/ir-01-23-24860-intersectionality-data.xlsx</w:t>
        </w:r>
      </w:hyperlink>
      <w:r>
        <w:rPr>
          <w:sz w:val="16"/>
          <w:szCs w:val="16"/>
        </w:rPr>
        <w:t xml:space="preserve"> </w:t>
      </w:r>
    </w:p>
  </w:footnote>
  <w:footnote w:id="10">
    <w:p w14:paraId="7BFAB361" w14:textId="77777777" w:rsidR="00EE1CF6" w:rsidRDefault="00000000">
      <w:pPr>
        <w:spacing w:line="240" w:lineRule="auto"/>
        <w:rPr>
          <w:sz w:val="16"/>
          <w:szCs w:val="16"/>
        </w:rPr>
      </w:pPr>
      <w:r>
        <w:rPr>
          <w:vertAlign w:val="superscript"/>
        </w:rPr>
        <w:footnoteRef/>
      </w:r>
      <w:r>
        <w:rPr>
          <w:sz w:val="16"/>
          <w:szCs w:val="16"/>
        </w:rPr>
        <w:t xml:space="preserve"> NZJC Report: </w:t>
      </w:r>
      <w:r>
        <w:rPr>
          <w:i/>
          <w:sz w:val="16"/>
          <w:szCs w:val="16"/>
        </w:rPr>
        <w:t>Responding to Hate Crime” Police Workshops 13 November 2020</w:t>
      </w:r>
      <w:r>
        <w:rPr>
          <w:sz w:val="16"/>
          <w:szCs w:val="16"/>
        </w:rPr>
        <w:t>.</w:t>
      </w:r>
    </w:p>
  </w:footnote>
  <w:footnote w:id="11">
    <w:p w14:paraId="5BC08AE5" w14:textId="77777777" w:rsidR="00EE1CF6" w:rsidRDefault="00000000">
      <w:pPr>
        <w:spacing w:line="240" w:lineRule="auto"/>
        <w:rPr>
          <w:sz w:val="16"/>
          <w:szCs w:val="16"/>
        </w:rPr>
      </w:pPr>
      <w:r>
        <w:rPr>
          <w:vertAlign w:val="superscript"/>
        </w:rPr>
        <w:footnoteRef/>
      </w:r>
      <w:r>
        <w:rPr>
          <w:sz w:val="16"/>
          <w:szCs w:val="16"/>
        </w:rPr>
        <w:t xml:space="preserve"> CSG report: </w:t>
      </w:r>
      <w:r>
        <w:rPr>
          <w:i/>
          <w:sz w:val="16"/>
          <w:szCs w:val="16"/>
        </w:rPr>
        <w:t>Analysis of antisemitism in New Zealand during the period from 7 October to 7 November 2023</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7BFE" w14:textId="77777777" w:rsidR="00EE1CF6" w:rsidRDefault="00EE1CF6"/>
  <w:p w14:paraId="4E3A9C69" w14:textId="77777777" w:rsidR="00EE1CF6" w:rsidRDefault="00EE1C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80BD" w14:textId="77777777" w:rsidR="00EE1CF6" w:rsidRDefault="00EE1C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44886"/>
    <w:multiLevelType w:val="multilevel"/>
    <w:tmpl w:val="E7A07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0838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CF6"/>
    <w:rsid w:val="00385633"/>
    <w:rsid w:val="00EA3843"/>
    <w:rsid w:val="00EE1C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290B1"/>
  <w15:docId w15:val="{9C02830B-7A97-3847-9F0D-73179DF5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rdc.org.nz/summary-of-religious-diversity-in-new-zealand-2018-census/" TargetMode="External"/><Relationship Id="rId3" Type="http://schemas.openxmlformats.org/officeDocument/2006/relationships/hyperlink" Target="https://www.police.govt.nz/sites/default/files/publications/ir-01-23-37251-updated-tables.pdf" TargetMode="External"/><Relationship Id="rId7" Type="http://schemas.openxmlformats.org/officeDocument/2006/relationships/hyperlink" Target="https://www.police.govt.nz/sites/default/files/publications/ir-01-23-24860-intersectionality-data.xlsx" TargetMode="External"/><Relationship Id="rId2" Type="http://schemas.openxmlformats.org/officeDocument/2006/relationships/hyperlink" Target="https://www.police.govt.nz/sites/default/files/publications/ir-01-23-35388-response-documents.pdf" TargetMode="External"/><Relationship Id="rId1" Type="http://schemas.openxmlformats.org/officeDocument/2006/relationships/hyperlink" Target="https://www.police.govt.nz/about-us/publications-and-statistics/corporate/information-releases/hate-motivated-crimes-official" TargetMode="External"/><Relationship Id="rId6" Type="http://schemas.openxmlformats.org/officeDocument/2006/relationships/hyperlink" Target="https://www.stats.govt.nz/tools/2018-census-ethnic-group-summaries" TargetMode="External"/><Relationship Id="rId5" Type="http://schemas.openxmlformats.org/officeDocument/2006/relationships/hyperlink" Target="https://www.police.govt.nz/sites/default/files/publications/ir-01-23-37251-updated-tables.pdf" TargetMode="External"/><Relationship Id="rId4" Type="http://schemas.openxmlformats.org/officeDocument/2006/relationships/hyperlink" Target="https://www.stats.govt.nz/information-releases/subnational-population-estimates-at-30-june-2020" TargetMode="External"/><Relationship Id="rId9" Type="http://schemas.openxmlformats.org/officeDocument/2006/relationships/hyperlink" Target="https://www.police.govt.nz/sites/default/files/publications/ir-01-23-24860-intersectionality-data.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4275</Characters>
  <Application>Microsoft Office Word</Application>
  <DocSecurity>0</DocSecurity>
  <Lines>35</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Farrar</cp:lastModifiedBy>
  <cp:revision>2</cp:revision>
  <dcterms:created xsi:type="dcterms:W3CDTF">2024-04-10T23:54:00Z</dcterms:created>
  <dcterms:modified xsi:type="dcterms:W3CDTF">2024-04-10T23:54:00Z</dcterms:modified>
</cp:coreProperties>
</file>